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ascii="微软雅黑" w:hAnsi="微软雅黑" w:eastAsia="微软雅黑" w:cs="微软雅黑"/>
          <w:i w:val="0"/>
          <w:caps w:val="0"/>
          <w:color w:val="E93D1A"/>
          <w:spacing w:val="0"/>
          <w:sz w:val="36"/>
          <w:szCs w:val="36"/>
        </w:rPr>
      </w:pPr>
      <w:r>
        <w:rPr>
          <w:rFonts w:hint="eastAsia" w:ascii="微软雅黑" w:hAnsi="微软雅黑" w:eastAsia="微软雅黑" w:cs="微软雅黑"/>
          <w:i w:val="0"/>
          <w:caps w:val="0"/>
          <w:color w:val="E93D1A"/>
          <w:spacing w:val="0"/>
          <w:sz w:val="36"/>
          <w:szCs w:val="36"/>
          <w:bdr w:val="none" w:color="auto" w:sz="0" w:space="0"/>
        </w:rPr>
        <w:t>中华人民共和国招标投标法实施条例（2018年3月19日修订）</w:t>
      </w:r>
    </w:p>
    <w:p>
      <w:pPr>
        <w:keepNext w:val="0"/>
        <w:keepLines w:val="0"/>
        <w:widowControl/>
        <w:suppressLineNumbers w:val="0"/>
        <w:shd w:val="clear" w:fill="FFFFFF"/>
        <w:spacing w:line="500" w:lineRule="atLeast"/>
        <w:ind w:left="0" w:firstLine="480"/>
        <w:jc w:val="left"/>
        <w:rPr>
          <w:rFonts w:hint="eastAsia" w:ascii="微软雅黑" w:hAnsi="微软雅黑" w:eastAsia="微软雅黑" w:cs="微软雅黑"/>
          <w:i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根据中华人民共和国国务院令第698号《国务院关于修改和废止部分行政法规的决定》修改：</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十八、删去《中华人民共和国招标投标法实施条例》第十一条第一款。</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删去第十三条第一款中的“其资格许可和”，删去第三款。</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此外，对相关行政法规中的条文序号作相应调整。</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中华人民共和国招标投标法实施条例</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第一章　总　则</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为了规范招标投标活动，根据《中华人民共和国招标投标法》（以下简称招标投标法），制定本条例。</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招标投标法第三条所称工程建设项目，是指工程以及与工程建设有关的货物、服务。</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依法必须进行招标的工程建设项目的具体范围和规模标准，由国务院发展改革部门会同国务院有关部门制订，报国务院批准后公布施行。</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财政部门依法对实行招标投标的政府采购工程建设项目的预算执行情况和政府采购政策执行情况实施监督。</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监察机关依法对与招标投标活动有关的监察对象实施监察。</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设区的市级以上地方人民政府可以根据实际需要，建立统一规范的招标投标交易场所，为招标投标活动提供服务。招标投标交易场所不得与行政监督部门存在隶属关系，不得以营利为目的。</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国家鼓励利用信息网络进行电子招标投标。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禁止国家工作人员以任何方式非法干涉招标投标活动。</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第二章 招　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国有资金占控股或者主导地位的依法必须进行招标的项目，应当公开招标；但有下列情形之一的，可以邀请招标：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（一）技术复杂、有特殊要求或者受自然环境限制，只有少量潜在投标人可供选择；</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（二）采用公开招标方式的费用占项目合同金额的比例过大。</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有前款第二项所列情形，属于本条例第七条规定的项目，由项目审批、核准部门在审批、核准项目时作出认定；其他项目由招标人申请有关行政监督部门作出认定。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除招标投标法第六十六条规定的可以不进行招标的特殊情况外，有下列情形之一的，可以不进行招标：</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（一）需要采用不可替代的专利或者专有技术；</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（二）采购人依法能够自行建设、生产或者提供；</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（三）已通过招标方式选定的特许经营项目投资人依法能够自行建设、生产或者提供；</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（四）需要向原中标人采购工程、货物或者服务，否则将影响施工或者功能配套要求；</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（五）国家规定的其他特殊情形。</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招标人为适用前款规定弄虚作假的，属于招标投标法第四条规定的规避招标。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招标投标法第十二条第二款规定的招标人具有编制招标文件和组织评标能力，是指招标人具有与招标项目规模和复杂程度相适应的技术、经济等方面的专业人员。</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国务院住房城乡建设、商务、发展改革、工业和信息化等部门，按照规定的职责分工对招标代理机构依法实施监督管理。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第十二条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招标代理机构应当拥有一定数量的具备编制招标文件、组织评标等相应能力的专业人员。</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招标代理机构在招标人委托的范围内开展招标代理业务，任何单位和个人不得非法干涉。</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招标代理机构代理招标业务，应当遵守招标投标法和本条例关于招标人的规定。招标代理机构不得在所代理的招标项目中投标或者代理投标，也不得为所代理的招标项目的投标人提供咨询。</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第十四条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招标人应当与被委托的招标代理机构签订书面委托合同，合同约定的收费标准应当符合国家有关规定。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第十五条 </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公开招标的项目，应当依照招标投标法和本条例的规定发布招标公告、编制招标文件。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招标人采用资格预审办法对潜在投标人进行资格审查的，应当发布资格预审公告、编制资格预审文件。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编制依法必须进行招标的项目的资格预审文件和招标文件，应当使用国务院发展改革部门会同有关行政监督部门制定的标准文本。</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第十六条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招标人应当按照资格预审公告、招标公告或者投标邀请书规定的时间、地点发售资格预审文件或者招标文件。资格预审文件或者招标文件的发售期不得少于5日。</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招标人发售资格预审文件、招标文件收取的费用应当限于补偿印刷、邮寄的成本支出，不得以营利为目的。</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招标人应当合理确定提交资格预审申请文件的时间。依法必须进行招标的项目提交资格预审申请文件的时间，自资格预审文件停止发售之日起不得少于5日。</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第十八条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资格预审应当按照资格预审文件载明的标准和方法进行。</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资格预审结束后，招标人应当及时向资格预审申请人发出资格预审结果通知书。未通过资格预审的申请人不具有投标资格。</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通过资格预审的申请人少于3个的，应当重新招标。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招标人采用资格后审办法对投标人进行资格审查的，应当在开标后由评标委员会按照招标文件规定的标准和方法对投标人的资格进行审查。</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第二十二条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 </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第二十四条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招标人对招标项目划分标段的，应当遵守招标投标法的有关规定，不得利用划分标段限制或者排斥潜在投标人。依法必须进行招标的项目的招标人不得利用划分标段规避招标。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第二十五条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招标人应当在招标文件中载明投标有效期。投标有效期从提交投标文件的截止之日起算。</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第二十六条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招标人在招标文件中要求投标人提交投标保证金的，投标保证金不得超过招标项目估算价的2%。投标保证金有效期应当与投标有效期一致。</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依法必须进行招标的项目的境内投标单位，以现金或者支票形式提交的投标保证金应当从其基本账户转出。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招标人不得挪用投标保证金。 </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第二十七条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招标人可以自行决定是否编制标底。一个招标项目只能有一个标底。标底必须保密。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接受委托编制标底的中介机构不得参加受托编制标底项目的投标，也不得为该项目的投标人编制投标文件或者提供咨询。</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招标人设有最高投标限价的，应当在招标文件中明确最高投标限价或者最高投标限价的计算方法。招标人不得规定最低投标限价。</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招标人不得组织单个或者部分潜在投标人踏勘项目现场。</w:t>
      </w:r>
    </w:p>
    <w:p>
      <w:pPr>
        <w:keepNext w:val="0"/>
        <w:keepLines w:val="0"/>
        <w:widowControl/>
        <w:suppressLineNumbers w:val="0"/>
        <w:shd w:val="clear" w:fill="FFFFFF"/>
        <w:spacing w:line="500" w:lineRule="atLeast"/>
        <w:ind w:firstLine="482" w:firstLineChars="20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前款所称暂估价，是指总承包招标时不能确定价格而由招标人在招标文件中暂时估定的工程、货物、服务的金额。</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对技术复杂或者无法精确拟定技术规格的项目，招标人可以分两阶段进行招标。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第一阶段，投标人按照招标公告或者投标邀请书的要求提交不带报价的技术建议，招标人根据投标人提交的技术建议确定技术标准和要求，编制招标文件。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第二阶段，招标人向在第一阶段提交技术建议的投标人提供招标文件，投标人按照招标文件的要求提交包括最终技术方案和投标报价的投标文件。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招标人要求投标人提交投标保证金的，应当在第二阶段提出。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第三十二条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招标人不得以不合理的条件限制、排斥潜在投标人或者投标人。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招标人有下列行为之一的，属于以不合理条件限制、排斥潜在投标人或者投标人：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（一）就同一招标项目向潜在投标人或者投标人提供有差别的项目信息；</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（二）设定的资格、技术、商务条件与招标项目的具体特点和实际需要不相适应或者与合同履行无关；</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（三）依法必须进行招标的项目以特定行政区域或者特定行业的业绩、奖项作为加分条件或者中标条件；</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（四）对潜在投标人或者投标人采取不同的资格审查或者评标标准；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（五）限定或者指定特定的专利、商标、品牌、原产地或者供应商；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（六）依法必须进行招标的项目非法限定潜在投标人或者投标人的所有制形式或者组织形式；</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（七）以其他不合理条件限制、排斥潜在投标人或者投标人。</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第三章 投　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投标人参加依法必须进行招标的项目的投标，不受地区或者部门的限制，任何单位和个人不得非法干涉。</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第三十四条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与招标人存在利害关系可能影响招标公正性的法人、其他组织或者个人，不得参加投标。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单位负责人为同一人或者存在控股、管理关系的不同单位，不得参加同一标段投标或者未划分标段的同一招标项目投标。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违反前两款规定的，相关投标均无效。</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第三十五条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投标人撤回已提交的投标文件，应当在投标截止时间前书面通知招标人。招标人已收取投标保证金的，应当自收到投标人书面撤回通知之日起5日内退还。</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投标截止后投标人撤销投标文件的，招标人可以不退还投标保证金。</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第三十六条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未通过资格预审的申请人提交的投标文件，以及逾期送达或者不按照招标文件要求密封的投标文件，招标人应当拒收。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招标人应当如实记载投标文件的送达时间和密封情况，并存档备查。</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招标人应当在资格预审公告、招标公告或者投标邀请书中载明是否接受联合体投标。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招标人接受联合体投标并进行资格预审的，联合体应当在提交资格预审申请文件前组成。资格预审后联合体增减、更换成员的，其投标无效。</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联合体各方在同一招标项目中以自己名义单独投标或者参加其他联合体投标的，相关投标均无效。</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投标人发生合并、分立、破产等重大变化的，应当及时书面告知招标人。投标人不再具备资格预审文件、招标文件规定的资格条件或者其投标影响招标公正性的，其投标无效。</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第三十九条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禁止投标人相互串通投标。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有下列情形之一的，属于投标人相互串通投标：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（一）投标人之间协商投标报价等投标文件的实质性内容；</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（二）投标人之间约定中标人；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（三）投标人之间约定部分投标人放弃投标或者中标；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（四）属于同一集团、协会、商会等组织成员的投标人按照该组织要求协同投标；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（五）投标人之间为谋取中标或者排斥特定投标人而采取的其他联合行动。</w:t>
      </w:r>
    </w:p>
    <w:p>
      <w:pPr>
        <w:keepNext w:val="0"/>
        <w:keepLines w:val="0"/>
        <w:widowControl/>
        <w:suppressLineNumbers w:val="0"/>
        <w:shd w:val="clear" w:fill="FFFFFF"/>
        <w:spacing w:line="500" w:lineRule="atLeast"/>
        <w:ind w:firstLine="482" w:firstLineChars="20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有下列情形之一的，视为投标人相互串通投标：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（一）不同投标人的投标文件由同一单位或者个人编制；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（二）不同投标人委托同一单位或者个人办理投标事宜；</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（三）不同投标人的投标文件载明的项目管理成员为同一人；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（四）不同投标人的投标文件异常一致或者投标报价呈规律性差异；</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（五）不同投标人的投标文件相互混装；</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（六）不同投标人的投标保证金从同一单位或者个人的账户转出。</w:t>
      </w:r>
    </w:p>
    <w:p>
      <w:pPr>
        <w:keepNext w:val="0"/>
        <w:keepLines w:val="0"/>
        <w:widowControl/>
        <w:suppressLineNumbers w:val="0"/>
        <w:shd w:val="clear" w:fill="FFFFFF"/>
        <w:spacing w:line="500" w:lineRule="atLeast"/>
        <w:ind w:firstLine="482" w:firstLineChars="20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禁止招标人与投标人串通投标。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有下列情形之一的，属于招标人与投标人串通投标：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（一）招标人在开标前开启投标文件并将有关信息泄露给其他投标人;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（二）招标人直接或者间接向投标人泄露标底、评标委员会成员等信息；</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（三）招标人明示或者暗示投标人压低或者抬高投标报价；</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（四）招标人授意投标人撤换、修改投标文件；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（五）招标人明示或者暗示投标人为特定投标人中标提供方便；</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（六）招标人与投标人为谋求特定投标人中标而采取的其他串通行为。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第四十二条 </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使用通过受让或者租借等方式获取的资格、资质证书投标的，属于招标投标法第三十三条规定的以他人名义投标。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投标人有下列情形之一的，属于招标投标法第三十三条规定的以其他方式弄虚作假的行为：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（一）使用伪造、变造的许可证件；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（二）提供虚假的财务状况或者业绩；</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（三）提供虚假的项目负责人或者主要技术人员简历、劳动关系证明；</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（四）提供虚假的信用状况；</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（五）其他弄虚作假的行为。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提交资格预审申请文件的申请人应当遵守招标投标法和本条例有关投标人的规定。</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第四章　开标、评标和中标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第四十四条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招标人应当按照招标文件规定的时间、地点开标。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投标人少于3个的，不得开标；招标人应当重新招标。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投标人对开标有异议的，应当在开标现场提出，招标人应当当场作出答复，并制作记录。</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第四十五条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国家实行统一的评标专家专业分类标准和管理办法。具体标准和办法由国务院发展改革部门会同国务院有关部门制定。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省级人民政府和国务院有关部门应当组建综合评标专家库。</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第四十六条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依法必须进行招标的项目的招标人非因招标投标法和本条例规定的事由，不得更换依法确定的评标委员会成员。更换评标委员会的专家成员应当依照前款规定进行。</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评标委员会成员与投标人有利害关系的，应当主动回避。</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招标投标法第三十七条第三款所称特殊招标项目，是指技术复杂、专业性强或者国家有特殊要求，采取随机抽取方式确定的专家难以保证胜任评标工作的项目。</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招标人应当向评标委员会提供评标所必需的信息，但不得明示或者暗示其倾向或者排斥特定投标人。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招标人应当根据项目规模和技术复杂程度等因素合理确定评标时间。超过三分之一的评标委员会成员认为评标时间不够的，招标人应当适当延长。</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评标过程中，评标委员会成员有回避事由、擅离职守或者因健康等原因不能继续评标的，应当及时更换。被更换的评标委员会成员作出的评审结论无效，由更换后的评标委员会成员重新进行评审。</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第四十九条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评标委员会成员应当依照招标投标法和本条例的规定，按照招标文件规定的评标标准和方法，客观、公正地对投标文件提出评审意见。招标文件没有规定的评标标准和方法不得作为评标的依据。</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招标项目设有标底的，招标人应当在开标时公布。标底只能作为评标的参考，不得以投标报价是否接近标底作为中标条件，也不得以投标报价超过标底上下浮动范围作为否决投标的条件。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第五十一条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有下列情形之一的，评标委员会应当否决其投标：</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（一）投标文件未经投标单位盖章和单位负责人签字；</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（二）投标联合体没有提交共同投标协议；</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（三）投标人不符合国家或者招标文件规定的资格条件；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（四）同一投标人提交两个以上不同的投标文件或者投标报价，但招标文件要求提交备选投标的除外；</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（五）投标报价低于成本或者高于招标文件设定的最高投标限价；</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（六）投标文件没有对招标文件的实质性要求和条件作出响应；</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（七）投标人有串通投标、弄虚作假、行贿等违法行为。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第五十二条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评标委员会不得暗示或者诱导投标人作出澄清、说明，不得接受投标人主动提出的澄清、说明。</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第五十三条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评标完成后，评标委员会应当向招标人提交书面评标报告和中标候选人名单。中标候选人应当不超过3个，并标明排序。</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第五十四条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依法必须进行招标的项目，招标人应当自收到评标报告之日起3日内公示中标候选人，公示期不得少于3日。</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第五十五条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第五十六条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中标候选人的经营、财务状况发生较大变化或者存在违法行为，招标人认为可能影响其履约能力的，应当在发出中标通知书前由原评标委员会按照招标文件规定的标准和方法审查确认。</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第五十七条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招标人最迟应当在书面合同签订后5日内向中标人和未中标的投标人退还投标保证金及银行同期存款利息。</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第五十八条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招标文件要求中标人提交履约保证金的，中标人应当按照招标文件的要求提交。履约保证金不得超过中标合同金额的10%。</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中标人应当按照合同约定履行义务，完成中标项目。中标人不得向他人转让中标项目，也不得将中标项目肢解后分别向他人转让。</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中标人按照合同约定或者经招标人同意，可以将中标项目的部分非主体、非关键性工作分包给他人完成。接受分包的人应当具备相应的资格条件，并不得再次分包。</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中标人应当就分包项目向招标人负责，接受分包的人就分包项目承担连带责任。</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第五章　投诉与处理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widowControl/>
        <w:suppressLineNumbers w:val="0"/>
        <w:shd w:val="clear" w:fill="FFFFFF"/>
        <w:spacing w:line="500" w:lineRule="atLeast"/>
        <w:ind w:firstLine="480" w:firstLineChars="20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就本条例第二十二条、第四十四条、第五十四条规定事项投诉的，应当先向招标人提出异议，异议答复期间不计算在前款规定的期限内。</w:t>
      </w:r>
      <w:r>
        <w:rPr>
          <w:rFonts w:hint="eastAsia" w:asciiTheme="minorEastAsia" w:hAnsiTheme="minorEastAsia" w:eastAsiaTheme="minorEastAsia" w:cstheme="minorEastAsia"/>
          <w:i w:val="0"/>
          <w:caps w:val="0"/>
          <w:color w:val="333333"/>
          <w:spacing w:val="0"/>
          <w:kern w:val="0"/>
          <w:sz w:val="24"/>
          <w:szCs w:val="24"/>
          <w:u w:val="none"/>
          <w:shd w:val="clear" w:fill="FFFFFF"/>
          <w:lang w:val="en-US" w:eastAsia="zh-CN" w:bidi="ar"/>
        </w:rPr>
        <w:fldChar w:fldCharType="begin"/>
      </w:r>
      <w:r>
        <w:rPr>
          <w:rFonts w:hint="eastAsia" w:asciiTheme="minorEastAsia" w:hAnsiTheme="minorEastAsia" w:eastAsiaTheme="minorEastAsia" w:cstheme="minorEastAsia"/>
          <w:i w:val="0"/>
          <w:caps w:val="0"/>
          <w:color w:val="333333"/>
          <w:spacing w:val="0"/>
          <w:kern w:val="0"/>
          <w:sz w:val="24"/>
          <w:szCs w:val="24"/>
          <w:u w:val="none"/>
          <w:shd w:val="clear" w:fill="FFFFFF"/>
          <w:lang w:val="en-US" w:eastAsia="zh-CN" w:bidi="ar"/>
        </w:rPr>
        <w:instrText xml:space="preserve"> HYPERLINK "http://www.gzlyyl.gov.cn/portal/site/site/portal/gzlyylj/javascript:showDetailArticleRead('afd87aeedbc011e58705005056a425c6','59');" </w:instrText>
      </w:r>
      <w:r>
        <w:rPr>
          <w:rFonts w:hint="eastAsia" w:asciiTheme="minorEastAsia" w:hAnsiTheme="minorEastAsia" w:eastAsiaTheme="minorEastAsia" w:cstheme="minorEastAsia"/>
          <w:i w:val="0"/>
          <w:caps w:val="0"/>
          <w:color w:val="333333"/>
          <w:spacing w:val="0"/>
          <w:kern w:val="0"/>
          <w:sz w:val="24"/>
          <w:szCs w:val="24"/>
          <w:u w:val="none"/>
          <w:shd w:val="clear" w:fill="FFFFFF"/>
          <w:lang w:val="en-US" w:eastAsia="zh-CN" w:bidi="ar"/>
        </w:rPr>
        <w:fldChar w:fldCharType="separate"/>
      </w:r>
      <w:r>
        <w:rPr>
          <w:rStyle w:val="5"/>
          <w:rFonts w:hint="eastAsia" w:asciiTheme="minorEastAsia" w:hAnsiTheme="minorEastAsia" w:eastAsiaTheme="minorEastAsia" w:cstheme="minorEastAsia"/>
          <w:i w:val="0"/>
          <w:caps w:val="0"/>
          <w:color w:val="005FA1"/>
          <w:spacing w:val="0"/>
          <w:sz w:val="24"/>
          <w:szCs w:val="24"/>
          <w:u w:val="none"/>
          <w:shd w:val="clear" w:fill="FFFFFF"/>
        </w:rPr>
        <w:t>解读&gt;&gt;</w:t>
      </w:r>
      <w:r>
        <w:rPr>
          <w:rFonts w:hint="eastAsia" w:asciiTheme="minorEastAsia" w:hAnsiTheme="minorEastAsia" w:eastAsiaTheme="minorEastAsia" w:cstheme="minorEastAsia"/>
          <w:i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line="500" w:lineRule="atLeast"/>
        <w:ind w:firstLine="482" w:firstLineChars="20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投诉人就同一事项向两个以上有权受理的行政监督部门投诉的，由最先收到投诉的行政监督部门负责处理。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行政监督部门应当自收到投诉之日起3个工作日内决定是否受理投诉，并自受理投诉之日起30个工作日内作出书面处理决定；需要检验、检测、鉴定、专家评审的，所需时间不计算在内。</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投诉人捏造事实、伪造材料或者以非法手段取得证明材料进行投诉的，行政监督部门应当予以驳回。</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第六十二条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行政监督部门处理投诉，有权查阅、复制有关文件、资料，调查有关情况，相关单位和人员应当予以配合。必要时，行政监督部门可以责令暂停招标投标活动。</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行政监督部门的工作人员对监督检查过程中知悉的国家秘密、商业秘密，应当依法予以保密。</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第六章 法律责任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第六十三条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招标人有下列限制或者排斥潜在投标人行为之一的，由有关行政监督部门依照招标投标法第五十一条的规定处罚：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（一）依法应当公开招标的项目不按照规定在指定媒介发布资格预审公告或者招标公告；</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（二）在不同媒介发布的同一招标项目的资格预审公告或者招标公告的内容不一致，影响潜在投标人申请资格预审或者投标。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依法必须进行招标的项目的招标人不按照规定发布资格预审公告或者招标公告，构成规避招标的，依照招标投标法第四十九条的规定处罚。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第六十四条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招标人有下列情形之一的，由有关行政监督部门责令改正，可以处10万元以下的罚款：</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（一）依法应当公开招标而采用邀请招标；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（二）招标文件、资格预审文件的发售、澄清、修改的时限，或者确定的提交资格预审申请文件、投标文件的时限不符合招标投标法和本条例规定；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（三）接受未通过资格预审的单位或者个人参加投标；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（四）接受应当拒收的投标文件。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招标人有前款第一项、第三项、第四项所列行为之一的，对单位直接负责的主管人员和其他直接责任人员依法给予处分。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第六十五条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第六十六条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投标人有下列行为之一的，属于招标投标法第五十三条规定的情节严重行为，由有关行政监督部门取消其1年至2年内参加依法必须进行招标的项目的投标资格：</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（一）以行贿谋取中标；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（二）3年内2次以上串通投标；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（三）串通投标行为损害招标人、其他投标人或者国家、集体、公民的合法利益，造成直接经济损失30万元以上；</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（四）其他串通投标情节严重的行为。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投标人自本条第二款规定的处罚执行期限届满之日起3年内又有该款所列违法行为之一的，或者串通投标、以行贿谋取中标情节特别严重的，由工商行政管理机关吊销营业执照。</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法律、行政法规对串通投标报价行为的处罚另有规定的，从其规定。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投标人有下列行为之一的，属于招标投标法第五十四条规定的情节严重行为，由有关行政监督部门取消其1年至3年内参加依法必须进行招标的项目的投标资格：</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（一）伪造、变造资格、资质证书或者其他许可证件骗取中标；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（二）3年内2次以上使用他人名义投标；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（三）弄虚作假骗取中标给招标人造成直接经济损失30万元以上；</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（四）其他弄虚作假骗取中标情节严重的行为。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投标人自本条第二款规定的处罚执行期限届满之日起3年内又有该款所列违法行为之一的，或者弄虚作假骗取中标情节特别严重的，由工商行政管理机关吊销营业执照。</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第六十九条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出让或者出租资格、资质证书供他人投标的，依照法律、行政法规的规定给予行政处罚；构成犯罪的，依法追究刑事责任。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国家工作人员以任何方式非法干涉选取评标委员会成员的，依照本条例第八十一条的规定追究法律责任。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第七十一条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（一）应当回避而不回避；</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（二）擅离职守；</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（三）不按照招标文件规定的评标标准和方法评标；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（四）私下接触投标人；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（五）向招标人征询确定中标人的意向或者接受任何单位或者个人明示或者暗示提出的倾向或者排斥特定投标人的要求；</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（六）对依法应当否决的投标不提出否决意见；</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（七）暗示或者诱导投标人作出澄清、说明或者接受投标人主动提出的澄清、说明；</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（八）其他不客观、不公正履行职务的行为。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第七十二条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（一）无正当理由不发出中标通知书；</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（二）不按照规定确定中标人；</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（三）中标通知书发出后无正当理由改变中标结果；</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（四）无正当理由不与中标人订立合同；</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（五）在订立合同时向中标人提出附加条件。</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第七十四条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第七十五条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第七十六条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bookmarkStart w:id="0" w:name="_GoBack"/>
      <w:bookmarkEnd w:id="0"/>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第七十七条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投标人或者其他利害关系人捏造事实、伪造材料或者以非法手段取得证明材料进行投诉，给他人造成损失的，依法承担赔偿责任。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招标人不按照规定对异议作出答复，继续进行招标投标活动的，由有关行政监督部门责令改正，拒不改正或者不能改正并影响中标结果的，依照本条例第八十二条的规定处理。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第七十八条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国家建立招标投标信用制度。有关行政监督部门应当依法公告对招标人、招标代理机构、投标人、评标委员会成员等当事人违法行为的行政处理决定。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第七十九条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项目审批、核准部门不依法审批、核准项目招标范围、招标方式、招标组织形式的，对单位直接负责的主管人员和其他直接责任人员依法给予处分。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项目审批、核准部门和有关行政监督部门的工作人员徇私舞弊、滥用职权、玩忽职守，构成犯罪的，依法追究刑事责任。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第八十条</w:t>
      </w:r>
      <w:r>
        <w:rPr>
          <w:rFonts w:hint="eastAsia" w:asciiTheme="minorEastAsia" w:hAnsiTheme="minorEastAsia" w:eastAsiaTheme="minorEastAsia" w:cstheme="minorEastAsia"/>
          <w:b/>
          <w:i w:val="0"/>
          <w:caps w:val="0"/>
          <w:color w:val="333333"/>
          <w:spacing w:val="0"/>
          <w:kern w:val="0"/>
          <w:sz w:val="24"/>
          <w:szCs w:val="24"/>
          <w:shd w:val="clear" w:fill="FFFFFF"/>
          <w:lang w:val="en-US" w:eastAsia="zh-CN" w:bidi="ar"/>
        </w:rPr>
        <w:t> </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（一）要求对依法必须进行招标的项目不招标，或者要求对依法应当公开招标的项目不公开招标；</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（二）要求评标委员会成员或者招标人以其指定的投标人作为中标候选人或者中标人，或者以其他方式非法干涉评标活动，影响中标结果；</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（三）以其他方式非法干涉招标投标活动。</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第八十一条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依法必须进行招标的项目的招标投标活动违反招标投标法和本条例的规定，对中标结果造成实质性影响，且不能采取补救措施予以纠正的，招标、投标、中标无效，应当依法重新招标或者评标。</w:t>
      </w:r>
    </w:p>
    <w:p>
      <w:pPr>
        <w:keepNext w:val="0"/>
        <w:keepLines w:val="0"/>
        <w:widowControl/>
        <w:suppressLineNumbers w:val="0"/>
        <w:shd w:val="clear" w:fill="FFFFFF"/>
        <w:spacing w:line="500" w:lineRule="atLeast"/>
        <w:ind w:left="0" w:firstLine="480"/>
        <w:jc w:val="center"/>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第七章　附  则</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第八十二条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招标投标协会按照依法制定的章程开展活动，加强行业自律和服务。</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第八十三条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政府采购的法律、行政法规对政府采购货物、服务的招标投标另有规定的，从其规定。</w:t>
      </w:r>
    </w:p>
    <w:p>
      <w:pPr>
        <w:keepNext w:val="0"/>
        <w:keepLines w:val="0"/>
        <w:widowControl/>
        <w:suppressLineNumbers w:val="0"/>
        <w:shd w:val="clear" w:fill="FFFFFF"/>
        <w:spacing w:line="500" w:lineRule="atLeast"/>
        <w:ind w:left="0" w:firstLine="480"/>
        <w:jc w:val="left"/>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第八十四条</w:t>
      </w: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 本条例自2012年2月1日起施行。</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1A0F3C52" w:usb2="00000010"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D1C4B"/>
    <w:rsid w:val="0DCD1C4B"/>
    <w:rsid w:val="37DC23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2018-10-22T03:33:00Z</dcterms:created>
  <dc:creator>memories</dc:creator>
  <cp:lastModifiedBy>memories</cp:lastModifiedBy>
  <cp:lastPrinted>2018-10-22T07:22:59Z</cp:lastPrinted>
  <dcterms:modified xsi:type="dcterms:W3CDTF">2018-10-22T09:11:51Z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